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20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УТВЕРЖДЕНА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приказом министерства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образования Ставропольского края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от 23 января 2025 года № 54-пр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820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Инструкция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для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руководителя пункта проведения экзамена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привлекаемого к проведению государственной итоговой аттестации    по образовательным программам среднего общего образования в форме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единого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государственного экзамена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информатике в компьютерной форме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в Ставропольском крае в 2025 году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Общие требования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организации работы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руководителя пункта проведения экзамена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проведени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экзаменов по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информатике в компьютерной форме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(далее соответственно – ППЭ, ЕГЭ)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соответствуют требованиям стандартной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инструкции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руководителя ППЭ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привлекаемого к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в Ставропольском крае в 2025 году (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далее соответственно – ГИА, ЕГЭ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), утвержденной приказом министерства образования Ставропольского края (далее – министерство).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Подготовка к проведению ЕГЭ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подготовительном этапе проведения экзамена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ППЭ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Совместно с руководителем организации, на базе которой организован ППЭ: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обеспечивает готовность ППЭ к проведению КЕГЭ в соответствии 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установленными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требованиями, в том числе в части технического оснащения ППЭ и хранения основного и резервного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-накопителя для хранения интернет-пакетов в сейфе Штаба ППЭ с осуществлением мер информационной безопасности;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3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менее 1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-накопителя для переноса данных между станциями в ППЭ (рекомендуемое количество – по числу технических специалистов ППЭ и не менее одного резервного).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ППЭ контролирует своевременность загрузки ЭМ для экзаменов, проводимых в данном ППЭ. В случае выявления проблем с загрузкой ЭМ необходимо принимать меры для устранения этих проблем. Интернет-пакет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 становятся доступны за 5 рабочих дней до даты экзамена для основных дней экзаменационного периода, за 3 рабочих дня – для резервных дней экзаменационного периода и формируются на основе сведений о распределенных по ППЭ участниках и аудиторном фонде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позднее чем за 2 недели до КЕГЭ руководитель ППЭ совместно с руководителем организации обеспечивают техническому специалисту возможность: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получения из РЦОИ перечня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стандартного ПО, предоставляемого участнику экзамена во время экзамена, определенный министерством, и дистрибутивы этого ПО (текстовые редакторы, редакторы электронных таблиц, среды программирования на языках: С#, C++,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Pascal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Java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Python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проверки соответствия технических характеристик компьютеров (ноутбуков), на которые будет установлено ПО «Станция КЕГЭ», предъявля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емым требованиям для установки ПО «Станция КЕГЭ», а также минимальным требованиям, обеспечивающим стабильную работу версий стандартного ПО, предоставляемого участнику КЕГЭ, включенных в перечень, определенный министерством;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4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установки (начало уста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новки) на компьютеры (ноутбуки), предназначенные для использования в качестве станций КЕГЭ, стандартное ПО, предоставляемое участнику экзамена во время экзамена (текстовые редакторы, редакторы электронных таблиц, среды программирования на языках: С#, C++,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Pascal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Java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Python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в соответствии с перечнем, полученным из РЦОИ.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позднее чем за один календарный день до проведения экзамена руководитель ППЭ и руководитель организации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на базе которой организован ППЭ,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обеспечивают и проверяют наличие: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аудиторий, необходимых для проведения КЕГЭ, в том числе аудиторий, необходимых для проведения КЕГЭ для участников экзамена с ОВЗ, участников экзамена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– детей-инвалидов и инвалидов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аппаратно-программного комплекса для печати ЭМ, автоматизированных рабочих мест участников экзамена, расположенных в зоне видимости камер в каждой аудитории;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5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параметры электрических сетей организации, на базе которой расположен ППЭ, позволяют одновременно обеспечить электропитание для планируемого количества компьютеров (ноутбуков) с установленным 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«Станция КЕГЭ», станциями организатора, подключённых к ним принтеров и сканеров, и техники, расположенной в Штабе ППЭ (необходимо учитывать также дополнительные потребители электроэнергии – осветительные приборы, системы охлаждения воздуха (при наличии),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рециркуляторы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прочее).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позднее чем за один календарный день до начала проведения экзамена также необходимо: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подготовить черновики КЕГЭ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(используются в случае выхода из строя станции КЕГЭ для переноса ответов на резервную станцию КЕГЭ)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каждого участника экзамена: обеспечить наличие штампа организации, на базе которой расположен ППЭ, на каждой странице черновика КЕГЭ;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подготовить черновики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обеспечить наличие штампа организации, на базе которой расположен ППЭ, на каждой странице черновика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получить от технического специалиста и подготовить инструкции по использованию ПО для сдачи КЕГЭ на каждого участника КЕГЭ;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подготовить достаточное количество бумаги для печати бланков регистрации в аудиториях;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6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подготовить конверты для упаковки использованных черновиков (по одному конверту на аудиторию, все черновики упаковываются вместе – и черновики КЕГЭ, и стандартные использованные черновики);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 ранее чем за 5 календарных дней, но не позднее 17:00 календарного дня, предшествующего дню экзамена, и до проведения контроля технической готовности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ППЭ и руководитель организации, на базе которой организован ППЭ, 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беспечивают возможность техническому специалисту проведения технической подготовки ППЭ к экзамену.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ранее чем за 2 рабочих дня, но не позднее 17:00 календарного дня, предшествующего дню экзамена,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ППЭ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совместно с членом ГЭК и техническим специалистом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проводят контроль технической готовности ППЭ, в том числе: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получают от технического специалиста калибровочные листы (тестовые страницы границ печати) станции организатора и готовят их для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поаудиторной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выдачи организаторам;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получают от технического специалиста коды активации станций КЕГЭ (кроме резервных станций КЕГЭ) для передачи организаторам в аудитории (один код для каждой аудитории) и готовят их для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поаудиторной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выдачи организаторам;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получают от технического специалиста приложения к паспорту станции КЕГЭ (для каждой станции КЕГЭ, включая резервные) и готовят их для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поаудиторной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выдачи организаторам;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контролируют передачу в систему мониторинга готовности ППЭ в личном кабинете ППЭ электронных актов технической готовности со всех основных и резервных станций КЕГЭ, станций организатора, станций Штаба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контролируют передачу в систему мониторинга готовности ППЭ статуса «Контроль технической готовности завершен».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Акты основных станций могут быть переданы только при условии наличия на специализированном федеральном портале сведений о рассадке.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Статус «Контроль технической готовности завершен» может быть передан при условии наличия на специализированном федерально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 портале сведений о рассадке, а также при наличии переданных электронных актов технической готовности станций организатора для каждой аудитории. Заполнить и подписать форму ППЭ-01-01-К. Указанный протокол удостоверяется подписями технического специалиста,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руководителя ППЭ и членов ГЭК;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7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аполняют форму ППЭ-01 совместно с руководителем организации.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ППЭ назначает одного из технических специалистов (в случае наличия в ППЭ нескольких технических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специалистов) ответственным за включение видеонаблюдения в день проведения экзамена.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Проведение экзамена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 начала экзамена руководитель ППЭ: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позднее 07:30 получает от членов ГЭК пакет с ВДП, а также иную упаковку для сбора материалов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экзамена (при необходимости), электронные носители с ЭМ. В ППЭ должны быть выданы ВДП в количестве, равном числу аудиторий, умноженному на 2: ВДП для упаковки бланков регистрации в аудитории; ВДП для упаковки испорченных и бракованных бланков регистрации.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случай возникновения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нештатных ситуаций, в результате которых сканирование бланков регистрации будет производиться в Штабе ППЭ, необходимо иметь некоторый резерв ВДП для переупаковки бланков регистрации после вскрытия ВДП, доставленного из аудитории, и процедуры сканирования.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Заполняет форму ППЭ-14-01-К при получении ЭМ от членов ГЭК.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Обеспечивает распечатку пакета руководителя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Выдает ответственным организаторам в аудитории: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формы ППЭ-05-01, ППЭ-05-02-К, ППЭ-12-02, ППЭ-12-04-МАШ, ППЭ-16;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напечатанную тестовую страницу границ печати (калибровочный лист) станции организатора соответствующей аудитории;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инструкции по использованию ПО для сдачи КЕГЭ (на каждого участника экзамена);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приложения к паспорту станции КЕГЭ (на каждую станцию КЕГЭ, подготовленную для проведения экзамена в аудитории);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код активации экзамена на станции КЕГЭ (код активации экзамена одинаковый для всех станций КЕГЭ в одной аудитории);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конверт для упаковки использованных черновиков (один конверт на аудиторию);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 ВДП (для упаковки бланков регистрации, для упаковки испорченных и бракованных бланков регистрации).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ППЭ планирует необходимое количество листов формы ППЭ-12-04-МАШ на аудиторию и продумать схему передачи в аудитории дополнительных листов формы ППЭ-12-04-МАШ (например, организовать выдачу по 2 листа 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казанной формы ППЭ либо выдавать дополнительный лист по запросу организаторов в аудитории при необходимости через организатора вне аудитории). Общее количество листов формы ППЭ-12-04-МАШ на ППЭ определяется в РЦОИ при формировании пакета руководителя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позднее 09:45 выдает в Штабе ППЭ ответственным организаторам в аудиториях: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черновики КЕГЭ (на каждого участника экзамена)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которые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выдаются участникам экзамена вместе с бланками регистрации, черновики выдаются только во время экзамена по запросу участников экзамена – в случае если им не хватит места для записей в черновике КЕГЭ (включая оборотные стороны его листов)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черновики.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Завершение экзамена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После завершения выполнения ЭР во всех аудиториях ППЭ (все участники экзамена покинули аудитории)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руководитель ППЭ: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ает указание техническому специалисту ППЭ передать статус «Экзамены завершены» в систему мониторинга готовности ППЭ в личном кабинете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Штабе ППЭ за специально подготовленным столом, находящимся в зоне видимости камер видеонаблюдения, в присутствии членов ГЭК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получает от всех ответственных организаторов в аудитории следующие материалы: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0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запечатан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ный ВДП с бланками регистрации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калибровочны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лист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 каждой станции организатора, использованной в аудитории;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0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запечатанный конверт с использованными черновиками и че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рновиками КЕГЭ (на каждом конверте должна быть указана следующая информация: код региона, номер ППЭ (наименование и адрес) и номер аудитории, код учебного предмета, название учебного предмета, по которому проводится ЕГЭ, количество черновиков в конверте);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0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запечатанный ВДП с испорченными (бракованными) бланками регистрации;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0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неиспользованные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черновики КЕГЭ,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черновики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0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формы ППЭ-05-02-К, ППЭ-12-02 (при наличии), ППЭ-12-04-МАШ; ППЭ-05-01 (2 экземпляра), ППЭ-23, ППЭ-15;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0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инструкции по использованию ПО для сдачи КЕГЭ;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0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приложения к паспорту станции КЕГЭ;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0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служебные записки (при наличии).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если в течение двух часов от начала экзамена ни один из участников КЕГЭ, распределенных в ППЭ, не явился в ППЭ, член ГЭК по согласованию с председателем ГЭК принимает решение об остановке экзамена в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Технический специалист завершает экзамены на всех станциях организатора и станциях КЕГЭ во всех аудиториях ППЭ, включая резервные станции организатора и станции КЕГЭ.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Технический специалист на станциях организатора выполняет печать протоколов использования станции организатора в аудитории ППЭ (форма 23-01) и сохранение электронного журнала работы станции организатора 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-накопитель для переноса данных между станциями ППЭ, на станциях КЕГЭ сохраняет электронный журнал работы станции КЕГЭ.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Протоколы использования станции организатора в аудитории ППЭ (форма 23-01) подписываются техническим специалистом, членом ГЭК и руководителем ППЭ и остаются на хранение в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Электронные журналы работы станции организатора, станции КЕГЭ передаются в систему мониторинга готовности ППЭ в личном кабинете ППЭ при участии члена ГЭК с использованием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отсутствия участников экзамена во всех аудиториях ППЭ технический специалист по указанию руководителя ППЭ в личном кабинете ППЭ передает при участии члена ГЭК с использованием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 статус «Экзамен не состоялся» в систему мониторинга готовности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неявки всех распределенных в отдельные аудитории ППЭ участников экзаменов в течение двух часов от начала экзамена и принятия членом ГЭК по согласованию с председателем ГЭК решения об остановке экзамена в этих аудиториях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ППЭ, технический специалист завершает экзамены на станциях организатора, станциях КЕГЭ в этих аудиториях ППЭ, печатает протоколы использования станции организатора в аудитории ППЭ (форма 23-01) и сохраняет электронный журнал работы станции организатора 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-накопитель для переноса данных между станциями ППЭ, на станциях КЕГЭ сохраняет электронный журнал работы станции КЕГЭ.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Протоколы использования станции организатора в аудитории ППЭ (форма 23-01) подписываются техническим специалистом, членом ГЭК и руководителем ППЭ и остаются на хранение в 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Электронные журналы работы станции организатора, станций КЕГЭ передаются в систему мониторинга готовности ППЭ в личном кабинете ППЭ при участии члена ГЭК с использованием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токена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члена ГЭК.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ППЭ принимает от технического специалиста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-накопитель (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-накопители) с ответами участников КЕГЭ вместе с сопроводительным(и) бланком(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к нему (ним).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3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ППЭ совместно с членом ГЭК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сверяет данные сопроводительного бланка (бланков) к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-накопителю (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-накопителям) с данными формы ППЭ-05-02-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совместно с членом ГЭК контролирует передачу техническим специалистом ППЭ в личном кабинете ППЭ: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пакета (пакетов для каждой аудитории) с ответами участников КЕГЭ в РЦОИ (может быть передан вместе с пакетом электронных образов бланков и форм ППЭ после завершения процедуры сканирования);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электронных журналов всех основных и резервных станций организатора и станций КЕГЭ в систему мониторинга готовности ППЭ (передачу журналов станций КЕГЭ следует выполнять после подтверждения получения пакетов с ответами участников КЕГЭ).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После завершения сканирования во всех аудиториях ППЭ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руководитель ППЭ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pStyle w:val="969"/>
        <w:numPr>
          <w:ilvl w:val="0"/>
          <w:numId w:val="4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ри получении от ответственного организатора ЭМ из аудитории заполняет форму ППЭ-13-03-К на основе данных Сопроводительного бланка к материалам ЕГЭ, не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скрывая ВДП с бланками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овместно с членом ГЭК оформляет необходимые документы по результатам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проведения экзамена в ППЭ по следующим формам: ППЭ 13-01-К, ППЭ 13-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03-К, ППЭ 14-01-К, ППЭ-14-02-К.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ередает техническому специалисту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для сканирования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станции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Шбаба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заполненные формы ППЭ: ППЭ-07, ППЭ-13-03-К, ППЭ-14-01-К, ППЭ-18-МАШ (при наличии), ППЭ-19 (при наличии), ППЭ-21 (при наличии), ППЭ-22 (при наличии);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сопроводительный (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бланк(и) к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-накопителю(ям)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ответами участников экзамена;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материалы апелляций о нарушении Порядка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проведения ГИА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(формы ППЭ-02 и ППЭ-03 (при наличии).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Следующие формы ППЭ сканируются в аудиториях на станциях организатора: ППЭ-05-02-К, ППЭ-12-02 (при наличии), ППЭ-12-04-МАШ.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Получает отсканированные формы ППЭ от технического специалиста.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Совместно с членом ГЭК контролирует передачу в РЦОИ техническим специалистом ППЭ с помощью личного кабинета ППЭ в Штабе ППЭ: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пакетов с электронными образами бланков регистрации и форм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пакета (пакетов) с ответами участников КЕГЭ (если не был передан ранее, пакет (пакеты) с ответами участников КЕГЭ могут быть переданы после завершения сверки руководителем ППЭ и членом ГЭК данных сопроводительного бланка к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-накопителю с ведомостями сдачи экзамена в аудиториях до завершения сканирования бланков регистр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ации).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овместно 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членом ГЭК и техническим специалистом ППЭ ожидает в Штабе ППЭ подтверждения от РЦОИ факта успешного получения и расшифровки переданных пакетов с электронными образами бланков и форм ППЭ, пакета (пакетов) с ответами участников КЕГЭ (статус всех пакетов при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нимает значение «Подтвержден»).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осле получения от РЦОИ подтверждения по всем пакетам подписывает распечатанный протокол проведения процедуры сканирования в ППЭ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овместно с членом ГЭК контролирует передачу техническим специалистом ППЭ в систему мониторинга готовности ППЭ в личном кабинете ППЭ в Штабе ППЭ: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электронных журналов работы основной и резервной станций Штаба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статуса «Материалы переданы в РЦОИ».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Статус «Материалы переданы в РЦОИ» может быть передан, если в РЦОИ было передано подтверж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дение о завершении передачи ЭМ.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овместно с руководителем ППЭ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повторно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пересчит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ывают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все бланки регистрации, сверяют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информацию на сопроводительных бланках ВДП, в которых бланки регистрации были доставлены из аудиторий в Штаб ППЭ, и нового ВДП, провер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яют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что в новые ВДП вложены калибровочные листы и ВДП, в которых бланки регистрации были доставлены из аудиторий в Штаб ППЭ, и запечатывают ВДП с бланками регистрации для хранения и транспортировки.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Передает материалы экзамена члену ГЭК по форме ППЭ 14-01-К.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2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Присутствует при упаковке членами ГЭК материалов экзамена для последующей передачи на хранение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РЦОИ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за специально подготовленным столом, находящимся в зоне видимости камер видеонаблюдения.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-накопитель (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флеш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-накопители) с ответами участников КЕГЭ, бланки регистрации участников КЕГЭ после направления ответов участников КЕГЭ и отсканированных изображений бланков регистрации и форм ППЭ хранятся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РЦОИ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br w:type="page" w:clear="all"/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highlight w:val="white"/>
        </w:rPr>
      </w:r>
      <w:bookmarkStart w:id="0" w:name="_GoBack"/>
      <w:r>
        <w:rPr>
          <w:highlight w:val="white"/>
        </w:rPr>
      </w:r>
      <w:bookmarkEnd w:id="0"/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536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536"/>
        <w:jc w:val="both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 инструкции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для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руководителя пункта проведения экзамена,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привлекаемого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к проведению государственно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итоговой аттестации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по образовательным программам среднего общего образования в форме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единого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государственного экзамена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по информатике в компьютерной форме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в Ставропольском крае в 202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году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, утвержденной приказом министерства образования Ставропольского края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/>
        <w:jc w:val="left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 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от 23 января 2025 года № 54-пр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4536"/>
        <w:jc w:val="both"/>
        <w:spacing w:after="0" w:line="240" w:lineRule="exact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Инструктаж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для организаторов, проводимый в ППЭ перед началом экзамена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  <w:highlight w:val="white"/>
        </w:rPr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Инструктаж должен начинат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ься не ранее 8:15 и проводиться на территории ППЭ (после прохода организаторов через рамку металлоискателя). Ниже приведен текст инструктажа. Текст, выделенный курсивом, не читается, он содержит справочную и/или уточняющую информацию для руководителя ППЭ. 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Здравствуйте,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уважаемые коллеги! Сегодня, «___» ____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_____ 2025 года в ППЭ №_____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проводится экзамен по информатике в компьютерной форме</w:t>
      </w:r>
      <w:r>
        <w:rPr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Экзамен проходит в форме ЕГЭ, в аудиториях № _____ произведена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спецрассадка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(аудиторий со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спецрассадкой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нет). Плановая дата ознакомления участников экзамена с результатами – ___________________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_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(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назвать дату).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Все категории сотрудников действуют в соответствии со своими инструкциями. Сейчас мы проговорим основные моменты подготовки и проведения экзамена.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3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Подготовка аудиторий ППЭ.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 начала экзамена в аудитории необходимо проверить следующее: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компьютер (ноутбук), принтер для печати бланков регистрации и сканер находятся в зоне видимости камер видеонаблюдения;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подготовлено достаточно бумаги для печати бланков регистрации;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подготовлен калибровочный лист (тестовая страница грани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ц печати) станции организатора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номера аудиторий заметно обозначены и находятся в зоне видимости камер видеонаблюдения;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номер каждого рабочего места участника экзамена заметно обозначен;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аудитории есть табличка, оповещающая о ведении видеонаблюдения в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аудитории есть часы, находящиеся в поле зрения участников экзамена, которые показывают правильное время;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компьютер (ноутбук), принтер для печати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экзаменационных материалов 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(далее –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 ЭМ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сканер находятся в зоне видимости камер видеонаблюдения;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подготовлено достаточно бумаги для печати ЭМ;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подготовлен калибровочный лист станции организатора;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специально выделенное место в аудитории (стол) для раскладки и упаковки ЭМ участников экзамена находится в зоне видимости камер видеонаблюдения;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все рабочие места участников расположены в зоне видимости камер видеонаблюдения.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Организатору вне аудитории необходимо проверить наличие на месте дежурства таблички, оповещающей о ведении видеонаблюдения в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3"/>
        </w:numPr>
        <w:ind w:left="0"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Требования к соблюдению порядка проведения экзамена в ППЭ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Напоминаю, что во время экзамена запрещается: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участникам экзамена – выполнять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экзаменационную работу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(далее – ЭР)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несамостоятельно, в том числе с помощью посторонних лиц, общаться с другими участниками экзаменов во время проведения экзамена в аудитории, иметь при себе средства связи, фото-, аудио- и видеоаппаратуру, электронно-вычислительную технику, справочные 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предметам), выносить из аудиторий и ППЭ черновики,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экзаменационные материалы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бумажном и (или) электронном носителях, фотографировать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экзаменационные материалы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черновики;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организаторам, ассистентам, медицинским работникам –иметь при себе средства связи и выносить из аудиторий и ППЭ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экзаменационные материалы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бумажном или электронном носителях, фотографировать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экзаменационные материалы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всем находящимся лицам в ППЭ – находиться в ППЭ в случае несоответствия требованиям, предъявляемым к лицам, привлекаемым к проведению экзаменов, установленным пунктом 66 Порядка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проведения ГИА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оказывать содействие участникам экзамена, в том числе передавать им средства связи, электронно-вычислительную технику, фото-,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аудио-и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видеоаппаратуру, справочные материалы, письменные заметки и иные средства хранения и передачи информации.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Руководителю организации, в помещениях которой организован ППЭ, или уполномоченному им лицу, руководителю ППЭ, членам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ГЭК, техническим специалистам, сотрудникам, осуществляющим охрану правопорядка, и (или) сотрудникам органов внутренних дел (полиции), аккредитованным представителям СМИ и общественным наблюдателям, должностным лицам Рособрнадзора, иным лицам, определенным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Рособрнадзором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должностным лицам органа исполнительной власти субъекта Российской Федерации, осуществляющего переданные полномочия Российской Федерации в сфере образования, разрешается использование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средств связи, электронно-вычислительной техники, фото-, аудио- и видеоаппаратуры, справочных материалов, письменных заметок и иных средств хранения и передачи информации только в связи со служебной необходимостью в Штабе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Лица, допустившие нарушение указанных требований или иное нарушение порядка проведения экзамена, удаляются из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3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Допуск участников в ППЭ.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09:00 начинается допуск участников экзамена в ППЭ. Участники экзамена допускаются в ППЭ при наличии у них документов, удостоверяющих их личность, и при наличии их в списках распределения в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Нужно напомнить участникам экзамена о требованиях порядка проведения экзамена, в том числе: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запрете иметь при себе средства связи, электронно-вычислительную технику, фото, аудио и видеоаппаратуру;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необходимости оставить личные вещи в специально выделенном месте для хранения личных вещей до входа в ППЭ;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последствиях выявления у участников экзамена запрещенных средств.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Если участник экзамена отказывается сдать запрещенные средства, следует сообщить об этом руководителю ППЭ и члену ГЭК.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Если у участника ГИА нет документа, удостоверяющего личность, он допускается в ППЭ после письменного подтверждения его личности сопровождающим (для этого оформляется форма ППЭ-20, которую можно взять у руководителя ППЭ).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Если у участника ЕГЭ нет документа, удостоверяющего личность, он не допускается в ППЭ. В этом случае руководитель ППЭ в присутствии члена ГЭК составляет акт 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недопуске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такого участника в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входе участников экзамена непосредственно в аудиторию ответственный орган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изатор должен сверить данные документа, удостоверяющего личность участника экзамена, с данными в форме ППЭ-05-02. В случае расхождения персональных данных участника ЕГЭ в документе, удостоверяющем личность, с данными в форме ППЭ-05-02 ответственный организ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атор заполняет форму ППЭ-12-02. 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сли расхождение персон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альных данных не является опечаткой (т.е. произошла смена фамилии, имени, документа, удостоверяющего личность), к форме ППЭ-12-02 необходимо приложить копии подтверждающих документов. При смене паспорта необходимо приложить копию страницы с данными ранее 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ыданных паспортов. Для копирования подтверждающих документов можно направить участника экзамена в Штаб ППЭ (в сопровождении организатора вне аудитории) либо по желанию участника передать документы организатору вне аудитории для копирования их в Штабе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Если участник экзамена опоздал на экзамен, он допускается к сдаче экзамена, при этом время окончания экзамена не продлевается, и об этом сообщается участнику экзамена. Повторный общий инструктаж для опоздавших участников экзамена не проводится.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3"/>
        </w:numPr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  <w:highlight w:val="white"/>
        </w:rPr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Проведение экзамена. 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Непосредственно перед началом экзамена – не позднее чем в 9:45 по местному времени ответственный организатор должен получить в Штабе ППЭ у руководителя ППЭ (под подпись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черновики КЕГЭ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каждом листе которого проставлен штамп организации, на базе которой расположен ППЭ).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Второй организатор при этом остается в аудитории.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Черновик КЕГЭ НЕ нужно раскладывать заранее на рабочие места участников экзамена, вы выдадите его вместе с бланками регистрации. «Обычные» черновики выдаются в аудитории в небольшом к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оличестве, они также не раскладываются заранее на рабочие места участников экзамена, а выдаются только во время экзамена по запросу участников экзамена в случае, если им не хватает места для записей в черновике КЕГЭ (включая оборотные стороны его листов).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 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чала экзамена на столы раскладываются инструкции по использованию ПО для сдачи КЕГЭ и приложения к паспорту станции КЕГЭ. Приложение к паспорту станции КЕГЭ раскладывается в соответствии с номером компьютера (ноутбука), указанным в интерфейсе станции КЕГЭ.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9:50 по местному времени начать проведение первой части инструктажа для участников экзамена.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Текст инструктажа, зачитываемый участникам экзамена, будет выдан по окончании настоящего инструктажа. Его необходимо зачитать участникам экзамена слово в слово.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Ответственный организатор в аудитории распределяет роли организаторов в аудитории: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процедуру печати бланков регистрации – организатор, ответственный за печать бланков регистрации и организатор, ответственный за проверку ка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чества бланков регистрации; на процедуру расшифровки КИМ на станциях КЕГЭ – организатор, ответственный за расшифровку ЭМ на станции КЕГЭ, и организатор, ответственный за проведение инструктажа, а также определяет ответственного за сканирование в аудитории.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 ранее 10:00 нужно начать печать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бланков регистрации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соответствии с инструкцией организатора в аудитории.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После окончания печати нужно раздать участникам экзамена комплекты ЭМ в произвольном порядке и провести вторую часть инструктажа для участников экзамена.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проведении инструктажа необходим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контролировать действия участников экзамена, в том числе пресекать невыполнение требований организаторов в процессе проверки комплектности выданных материалов и заполнения бланков, не допускать начала выполнения ЭР до объявления времени начала экзамена.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Проверить правильность заполнения бланков регистрации и полей в окне ввода номера бланка регистрации на станции КЕГЭ.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Обратить внимание участников экзамена на необходимость записи ответов на задания в черновик КЕГЭ – в случае замены станции КЕГЭ нужно будет повторно ввести ответы в новую станцию КЕГЭ.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Указать, что сведения о рабочей папке для сохранения и (или) создания электронных файлов в ходе выполнения ЭР находятся в приложении к паспорту станции КЕГЭ.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Объявить код активации экзамена, время начала и окончания экзамена, зафиксировать их на доске (информационном стенде). До объявления кода активации экзамена писать его на доске (информационном стенде) категорически запрещено!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Объявить время начала и окончания экзамена, зафиксировать их на доске (информационном стенде).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Временем начала и окончания экзамена являет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ся время, объявленное организатором и записанное на доске (информационном стенде). После того, как все участники экзамена успешно перешли к просмотру заданий КИМ, сообщить в Штаб ППЭ через организатора вне аудитории об успешном начале экзамена в аудитории.</w:t>
      </w:r>
      <w:r>
        <w:rPr>
          <w:highlight w:val="white"/>
        </w:rPr>
        <w:t xml:space="preserve"> </w:t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i w:val="0"/>
          <w:i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  <w:highlight w:val="white"/>
        </w:rPr>
        <w:t xml:space="preserve">По просьбе участника экзамена необходимо выдавать черновики – в случае если участнику экзамена не хватает места для записей в черновике КЕГЭ, включая оборотные стороны его листов.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Если участник экзамена по состоянию здоровья или другим объективным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ричинам не может завершить выполнение ЭР, то он может досрочно завершить экзамен. Организатор в аудитории (с помощью организатора вне аудитории) должен сообщить о плохом самочувствии участника экзамена медицинскому работнику, члену ГЭК и руководителю ППЭ.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Если участник экзамена хочет подать апелляцию о нарушении порядка проведения экзамена, организатор в аудитории должен пригласить члена ГЭК.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Во время экзамена участники экзамена имеют право выходить из аудитории и перемещаться по ППЭ только в сопровождении организатора вне аудитории. Каждый выход участника экзамена из 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удитории фиксируется организаторами в ведомости учета времени отсутствия участников экзаменов в аудитории (форма ППЭ-12-04-МАШ) в соответствии с инструкцией организатора в аудитории. При нехватке места на одном листе записи продолжаются на следующем листе 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(следующие листы выдаются в Штабе ППЭ по схеме, установленной руководителем ППЭ – объяснить схему)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Участники экзамена, досрочно завершившие выполнение ЭР, могут сдать ее организаторам в аудитории и покинуть ППЭ, не дожидаясь окончания экзамена. Организатору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необходимо принять у них все ЭМ и проверить правильность переноса контрольной суммы с экрана компьютера (ноутбука) в бланк регистрации и удостоверить данное действие своей подписью на бланке регистрации участника в специально отведённом поле, а также убед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иться, что участник экзамена прошёл все этапы завершения экзамена на станции КЕГЭ и оставляет станцию КЕГЭ на странице «Экзамен завершён» (на данной странице имеется окно для ввода пароля технического специалиста и кнопка «Перейти к экспорту результатов»).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3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Завершение экзамена.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30 минут и за 5 минут до окончан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ия экзамена необходимо сообщить участникам экзамена о скором завершении экзамена и необходимости проверки корректности внесения и сохранения ответов на задания в ПО для сдачи экзамена, а также о необходимости переноса в бланк регистрации контрольной суммы.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истечении установленного времени объявить участникам экзамена в центре видимости камер видеонаблюдения об окончании времени выполнения заданий и попросить завершить экзамен на станции КЕГЭ, проверить полноту и корректность внесённых ответов в ста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нцию КЕГЭ и подтвердить это в соответствующем окне. Далее проинформировать о необходимости пройти на станции КЕГЭ до страницы «Экзамен завершён» и перенести контрольную сумму, автоматически сформированную в ПО, в соответствующее поле в бланке регистрации.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Собрать все бланки регистрации, проверив правильность переноса контрольной суммы и удостоверив данное действие своей подписью на бланке регистрации участника в специально отведённом поле, а также убедившись, что на станции КЕГЭ отобража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ется страница «Экзамен закончен», оформить протокол проведения экзамена в аудитории (форма ППЭ-05-02-К). При получении подписи участника экзамена предложить ему убедиться в правильности переноса контрольной суммы из бланка регистрации в форму ППЭ-05-02-К.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После завершения выполнения ЭР участниками экзамена (все участники покинули аудиторию):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проинформировать руководителя ППЭ через организатора вне аудитории о завершении выполнения ЭР в аудитории;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выполнить сканирование бланков регистрации участников и форм ППЭ, предназначенных для сканирования в аудитории;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окончании сканирования пригласить технического специалиста и члена ГЭК для экспорта электронных образов бланков регистрации и форм ППЭ и печати протоколов работы станции организатора;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подписать протокол печати полных комплектов ЭМ в аудитории ППЭ (форма ППЭ23) и протокол проведения процедуры сканирования бланков в аудитории ППЭ (форма ППЭ-15);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упаковать бланки регистрации и другие материалы в соответствии с инструкцией организатора в аудитории в зоне видимости камер видеонаблюдения.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9"/>
        <w:numPr>
          <w:ilvl w:val="0"/>
          <w:numId w:val="43"/>
        </w:numPr>
        <w:ind w:left="0"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Направление работников ППЭ на рабочие места и выдача документов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  <w:highlight w:val="white"/>
        </w:rPr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По окончании инструктажа руководитель должен объявить ответственных организаторов в аудитории (для сокращения времени 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проведения инструктажа руководить должен провести назначение ответственных организаторов заранее), и направить организаторов на рабочие места в соответствии с распределением (форма ППЭ-07), выдав им материалы: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формы ППЭ-05-01 (2 экземпляра), ППЭ-05-02-К, ППЭ-12-02, ППЭ-12-04-МАШ, ППЭ-16;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инструкцию для участников экзамена, зачитываемую организатором в аудитории перед началом экзамена (одна инструкция на аудиторию);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напечатанную тестовую страницу границ печати станции организатора соответствующей аудитории;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таблички с номерами аудиторий;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инструкции по использованию ПО для сдачи КЕГЭ (на каждого участника экзамена);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приложения к паспорту станции КЕГЭ;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конверт для упаковки использованных черновиков (один конверт на аудиторию);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ВДП для бланков регистрации участников экзамена, калибровочного листа станции организатора соответствующей аудитории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(1 на аудиторию)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ВДП (для испорченных и бракованных бланков)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1418" w:right="567" w:bottom="1134" w:left="1985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Noto Sans CJK SC">
    <w:panose1 w:val="020B0502040504020204"/>
  </w:font>
  <w:font w:name="Lohit Devanagari">
    <w:panose1 w:val="020B0600000000000000"/>
  </w:font>
  <w:font w:name="Liberation San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53093463"/>
      <w:docPartObj>
        <w:docPartGallery w:val="Page Numbers (Top of Page)"/>
        <w:docPartUnique w:val="true"/>
      </w:docPartObj>
      <w:rPr/>
    </w:sdtPr>
    <w:sdtContent>
      <w:p>
        <w:pPr>
          <w:pStyle w:val="972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7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  <w:i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  <w:tabs>
          <w:tab w:val="num" w:pos="20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  <w:tabs>
          <w:tab w:val="num" w:pos="20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  <w:tabs>
          <w:tab w:val="num" w:pos="2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  <w:tabs>
          <w:tab w:val="num" w:pos="20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  <w:tabs>
          <w:tab w:val="num" w:pos="2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  <w:tabs>
          <w:tab w:val="num" w:pos="20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  <w:tabs>
          <w:tab w:val="num" w:pos="20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  <w:tabs>
          <w:tab w:val="num" w:pos="2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  <w:tabs>
          <w:tab w:val="num" w:pos="208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cs="Times New Roman" w:eastAsiaTheme="minorHAnsi"/>
      </w:rPr>
    </w:lvl>
    <w:lvl w:ilvl="1">
      <w:start w:val="1"/>
      <w:numFmt w:val="decimal"/>
      <w:isLgl w:val="false"/>
      <w:suff w:val="tab"/>
      <w:lvlText w:val="%2)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41"/>
  </w:num>
  <w:num w:numId="7">
    <w:abstractNumId w:val="17"/>
  </w:num>
  <w:num w:numId="8">
    <w:abstractNumId w:val="36"/>
  </w:num>
  <w:num w:numId="9">
    <w:abstractNumId w:val="4"/>
  </w:num>
  <w:num w:numId="10">
    <w:abstractNumId w:val="1"/>
  </w:num>
  <w:num w:numId="11">
    <w:abstractNumId w:val="32"/>
  </w:num>
  <w:num w:numId="12">
    <w:abstractNumId w:val="29"/>
  </w:num>
  <w:num w:numId="13">
    <w:abstractNumId w:val="2"/>
  </w:num>
  <w:num w:numId="14">
    <w:abstractNumId w:val="33"/>
  </w:num>
  <w:num w:numId="15">
    <w:abstractNumId w:val="5"/>
  </w:num>
  <w:num w:numId="16">
    <w:abstractNumId w:val="6"/>
  </w:num>
  <w:num w:numId="17">
    <w:abstractNumId w:val="24"/>
  </w:num>
  <w:num w:numId="18">
    <w:abstractNumId w:val="40"/>
  </w:num>
  <w:num w:numId="19">
    <w:abstractNumId w:val="38"/>
  </w:num>
  <w:num w:numId="20">
    <w:abstractNumId w:val="21"/>
  </w:num>
  <w:num w:numId="21">
    <w:abstractNumId w:val="30"/>
  </w:num>
  <w:num w:numId="22">
    <w:abstractNumId w:val="16"/>
  </w:num>
  <w:num w:numId="23">
    <w:abstractNumId w:val="13"/>
  </w:num>
  <w:num w:numId="24">
    <w:abstractNumId w:val="31"/>
  </w:num>
  <w:num w:numId="25">
    <w:abstractNumId w:val="37"/>
  </w:num>
  <w:num w:numId="26">
    <w:abstractNumId w:val="11"/>
  </w:num>
  <w:num w:numId="27">
    <w:abstractNumId w:val="42"/>
  </w:num>
  <w:num w:numId="28">
    <w:abstractNumId w:val="22"/>
  </w:num>
  <w:num w:numId="29">
    <w:abstractNumId w:val="26"/>
  </w:num>
  <w:num w:numId="30">
    <w:abstractNumId w:val="3"/>
  </w:num>
  <w:num w:numId="31">
    <w:abstractNumId w:val="0"/>
  </w:num>
  <w:num w:numId="32">
    <w:abstractNumId w:val="9"/>
  </w:num>
  <w:num w:numId="33">
    <w:abstractNumId w:val="35"/>
  </w:num>
  <w:num w:numId="34">
    <w:abstractNumId w:val="34"/>
  </w:num>
  <w:num w:numId="35">
    <w:abstractNumId w:val="39"/>
  </w:num>
  <w:num w:numId="36">
    <w:abstractNumId w:val="20"/>
  </w:num>
  <w:num w:numId="37">
    <w:abstractNumId w:val="12"/>
  </w:num>
  <w:num w:numId="38">
    <w:abstractNumId w:val="28"/>
  </w:num>
  <w:num w:numId="39">
    <w:abstractNumId w:val="8"/>
  </w:num>
  <w:num w:numId="40">
    <w:abstractNumId w:val="19"/>
  </w:num>
  <w:num w:numId="41">
    <w:abstractNumId w:val="27"/>
  </w:num>
  <w:num w:numId="42">
    <w:abstractNumId w:val="14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4">
    <w:name w:val="Heading 1 Char"/>
    <w:basedOn w:val="791"/>
    <w:link w:val="782"/>
    <w:uiPriority w:val="9"/>
    <w:rPr>
      <w:rFonts w:ascii="Arial" w:hAnsi="Arial" w:eastAsia="Arial" w:cs="Arial"/>
      <w:sz w:val="40"/>
      <w:szCs w:val="40"/>
    </w:rPr>
  </w:style>
  <w:style w:type="character" w:styleId="765">
    <w:name w:val="Heading 2 Char"/>
    <w:basedOn w:val="791"/>
    <w:link w:val="783"/>
    <w:uiPriority w:val="9"/>
    <w:rPr>
      <w:rFonts w:ascii="Arial" w:hAnsi="Arial" w:eastAsia="Arial" w:cs="Arial"/>
      <w:sz w:val="34"/>
    </w:rPr>
  </w:style>
  <w:style w:type="character" w:styleId="766">
    <w:name w:val="Heading 3 Char"/>
    <w:basedOn w:val="791"/>
    <w:link w:val="784"/>
    <w:uiPriority w:val="9"/>
    <w:rPr>
      <w:rFonts w:ascii="Arial" w:hAnsi="Arial" w:eastAsia="Arial" w:cs="Arial"/>
      <w:sz w:val="30"/>
      <w:szCs w:val="30"/>
    </w:rPr>
  </w:style>
  <w:style w:type="character" w:styleId="767">
    <w:name w:val="Heading 4 Char"/>
    <w:basedOn w:val="791"/>
    <w:link w:val="785"/>
    <w:uiPriority w:val="9"/>
    <w:rPr>
      <w:rFonts w:ascii="Arial" w:hAnsi="Arial" w:eastAsia="Arial" w:cs="Arial"/>
      <w:b/>
      <w:bCs/>
      <w:sz w:val="26"/>
      <w:szCs w:val="26"/>
    </w:rPr>
  </w:style>
  <w:style w:type="character" w:styleId="768">
    <w:name w:val="Heading 5 Char"/>
    <w:basedOn w:val="791"/>
    <w:link w:val="786"/>
    <w:uiPriority w:val="9"/>
    <w:rPr>
      <w:rFonts w:ascii="Arial" w:hAnsi="Arial" w:eastAsia="Arial" w:cs="Arial"/>
      <w:b/>
      <w:bCs/>
      <w:sz w:val="24"/>
      <w:szCs w:val="24"/>
    </w:rPr>
  </w:style>
  <w:style w:type="character" w:styleId="769">
    <w:name w:val="Heading 6 Char"/>
    <w:basedOn w:val="791"/>
    <w:link w:val="787"/>
    <w:uiPriority w:val="9"/>
    <w:rPr>
      <w:rFonts w:ascii="Arial" w:hAnsi="Arial" w:eastAsia="Arial" w:cs="Arial"/>
      <w:b/>
      <w:bCs/>
      <w:sz w:val="22"/>
      <w:szCs w:val="22"/>
    </w:rPr>
  </w:style>
  <w:style w:type="character" w:styleId="770">
    <w:name w:val="Heading 7 Char"/>
    <w:basedOn w:val="791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1">
    <w:name w:val="Heading 8 Char"/>
    <w:basedOn w:val="791"/>
    <w:link w:val="789"/>
    <w:uiPriority w:val="9"/>
    <w:rPr>
      <w:rFonts w:ascii="Arial" w:hAnsi="Arial" w:eastAsia="Arial" w:cs="Arial"/>
      <w:i/>
      <w:iCs/>
      <w:sz w:val="22"/>
      <w:szCs w:val="22"/>
    </w:rPr>
  </w:style>
  <w:style w:type="character" w:styleId="772">
    <w:name w:val="Heading 9 Char"/>
    <w:basedOn w:val="791"/>
    <w:link w:val="790"/>
    <w:uiPriority w:val="9"/>
    <w:rPr>
      <w:rFonts w:ascii="Arial" w:hAnsi="Arial" w:eastAsia="Arial" w:cs="Arial"/>
      <w:i/>
      <w:iCs/>
      <w:sz w:val="21"/>
      <w:szCs w:val="21"/>
    </w:rPr>
  </w:style>
  <w:style w:type="character" w:styleId="773">
    <w:name w:val="Title Char"/>
    <w:basedOn w:val="791"/>
    <w:link w:val="804"/>
    <w:uiPriority w:val="10"/>
    <w:rPr>
      <w:sz w:val="48"/>
      <w:szCs w:val="48"/>
    </w:rPr>
  </w:style>
  <w:style w:type="character" w:styleId="774">
    <w:name w:val="Subtitle Char"/>
    <w:basedOn w:val="791"/>
    <w:link w:val="806"/>
    <w:uiPriority w:val="11"/>
    <w:rPr>
      <w:sz w:val="24"/>
      <w:szCs w:val="24"/>
    </w:rPr>
  </w:style>
  <w:style w:type="character" w:styleId="775">
    <w:name w:val="Quote Char"/>
    <w:link w:val="808"/>
    <w:uiPriority w:val="29"/>
    <w:rPr>
      <w:i/>
    </w:rPr>
  </w:style>
  <w:style w:type="character" w:styleId="776">
    <w:name w:val="Intense Quote Char"/>
    <w:link w:val="810"/>
    <w:uiPriority w:val="30"/>
    <w:rPr>
      <w:i/>
    </w:rPr>
  </w:style>
  <w:style w:type="character" w:styleId="777">
    <w:name w:val="Header Char"/>
    <w:basedOn w:val="791"/>
    <w:link w:val="972"/>
    <w:uiPriority w:val="99"/>
  </w:style>
  <w:style w:type="character" w:styleId="778">
    <w:name w:val="Caption Char"/>
    <w:basedOn w:val="791"/>
    <w:link w:val="966"/>
    <w:uiPriority w:val="35"/>
    <w:rPr>
      <w:b/>
      <w:bCs/>
      <w:color w:val="4f81bd" w:themeColor="accent1"/>
      <w:sz w:val="18"/>
      <w:szCs w:val="18"/>
    </w:rPr>
  </w:style>
  <w:style w:type="character" w:styleId="779">
    <w:name w:val="Footnote Text Char"/>
    <w:link w:val="968"/>
    <w:uiPriority w:val="99"/>
    <w:rPr>
      <w:sz w:val="18"/>
    </w:rPr>
  </w:style>
  <w:style w:type="character" w:styleId="780">
    <w:name w:val="Endnote Text Char"/>
    <w:link w:val="944"/>
    <w:uiPriority w:val="99"/>
    <w:rPr>
      <w:sz w:val="20"/>
    </w:rPr>
  </w:style>
  <w:style w:type="paragraph" w:styleId="781" w:default="1">
    <w:name w:val="Normal"/>
    <w:qFormat/>
    <w:pPr>
      <w:spacing w:after="160" w:line="259" w:lineRule="auto"/>
    </w:pPr>
  </w:style>
  <w:style w:type="paragraph" w:styleId="782">
    <w:name w:val="Heading 1"/>
    <w:basedOn w:val="781"/>
    <w:next w:val="781"/>
    <w:link w:val="79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3">
    <w:name w:val="Heading 2"/>
    <w:basedOn w:val="781"/>
    <w:next w:val="781"/>
    <w:link w:val="7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4">
    <w:name w:val="Heading 3"/>
    <w:basedOn w:val="781"/>
    <w:next w:val="781"/>
    <w:link w:val="7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5">
    <w:name w:val="Heading 4"/>
    <w:basedOn w:val="781"/>
    <w:next w:val="781"/>
    <w:link w:val="7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6">
    <w:name w:val="Heading 5"/>
    <w:basedOn w:val="781"/>
    <w:next w:val="781"/>
    <w:link w:val="7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7">
    <w:name w:val="Heading 6"/>
    <w:basedOn w:val="781"/>
    <w:next w:val="781"/>
    <w:link w:val="7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88">
    <w:name w:val="Heading 7"/>
    <w:basedOn w:val="781"/>
    <w:next w:val="781"/>
    <w:link w:val="8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89">
    <w:name w:val="Heading 8"/>
    <w:basedOn w:val="781"/>
    <w:next w:val="781"/>
    <w:link w:val="8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90">
    <w:name w:val="Heading 9"/>
    <w:basedOn w:val="781"/>
    <w:next w:val="781"/>
    <w:link w:val="8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 w:default="1">
    <w:name w:val="Default Paragraph Font"/>
    <w:uiPriority w:val="1"/>
    <w:semiHidden/>
    <w:unhideWhenUsed/>
  </w:style>
  <w:style w:type="table" w:styleId="7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3" w:default="1">
    <w:name w:val="No List"/>
    <w:uiPriority w:val="99"/>
    <w:semiHidden/>
    <w:unhideWhenUsed/>
  </w:style>
  <w:style w:type="character" w:styleId="794" w:customStyle="1">
    <w:name w:val="Заголовок 1 Знак"/>
    <w:basedOn w:val="791"/>
    <w:link w:val="782"/>
    <w:uiPriority w:val="9"/>
    <w:rPr>
      <w:rFonts w:ascii="Arial" w:hAnsi="Arial" w:eastAsia="Arial" w:cs="Arial"/>
      <w:sz w:val="40"/>
      <w:szCs w:val="40"/>
    </w:rPr>
  </w:style>
  <w:style w:type="character" w:styleId="795" w:customStyle="1">
    <w:name w:val="Заголовок 2 Знак"/>
    <w:basedOn w:val="791"/>
    <w:link w:val="783"/>
    <w:uiPriority w:val="9"/>
    <w:rPr>
      <w:rFonts w:ascii="Arial" w:hAnsi="Arial" w:eastAsia="Arial" w:cs="Arial"/>
      <w:sz w:val="34"/>
    </w:rPr>
  </w:style>
  <w:style w:type="character" w:styleId="796" w:customStyle="1">
    <w:name w:val="Заголовок 3 Знак"/>
    <w:basedOn w:val="791"/>
    <w:link w:val="784"/>
    <w:uiPriority w:val="9"/>
    <w:rPr>
      <w:rFonts w:ascii="Arial" w:hAnsi="Arial" w:eastAsia="Arial" w:cs="Arial"/>
      <w:sz w:val="30"/>
      <w:szCs w:val="30"/>
    </w:rPr>
  </w:style>
  <w:style w:type="character" w:styleId="797" w:customStyle="1">
    <w:name w:val="Заголовок 4 Знак"/>
    <w:basedOn w:val="791"/>
    <w:link w:val="785"/>
    <w:uiPriority w:val="9"/>
    <w:rPr>
      <w:rFonts w:ascii="Arial" w:hAnsi="Arial" w:eastAsia="Arial" w:cs="Arial"/>
      <w:b/>
      <w:bCs/>
      <w:sz w:val="26"/>
      <w:szCs w:val="26"/>
    </w:rPr>
  </w:style>
  <w:style w:type="character" w:styleId="798" w:customStyle="1">
    <w:name w:val="Заголовок 5 Знак"/>
    <w:basedOn w:val="791"/>
    <w:link w:val="786"/>
    <w:uiPriority w:val="9"/>
    <w:rPr>
      <w:rFonts w:ascii="Arial" w:hAnsi="Arial" w:eastAsia="Arial" w:cs="Arial"/>
      <w:b/>
      <w:bCs/>
      <w:sz w:val="24"/>
      <w:szCs w:val="24"/>
    </w:rPr>
  </w:style>
  <w:style w:type="character" w:styleId="799" w:customStyle="1">
    <w:name w:val="Заголовок 6 Знак"/>
    <w:basedOn w:val="791"/>
    <w:link w:val="787"/>
    <w:uiPriority w:val="9"/>
    <w:rPr>
      <w:rFonts w:ascii="Arial" w:hAnsi="Arial" w:eastAsia="Arial" w:cs="Arial"/>
      <w:b/>
      <w:bCs/>
      <w:sz w:val="22"/>
      <w:szCs w:val="22"/>
    </w:rPr>
  </w:style>
  <w:style w:type="character" w:styleId="800" w:customStyle="1">
    <w:name w:val="Заголовок 7 Знак"/>
    <w:basedOn w:val="791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1" w:customStyle="1">
    <w:name w:val="Заголовок 8 Знак"/>
    <w:basedOn w:val="791"/>
    <w:link w:val="789"/>
    <w:uiPriority w:val="9"/>
    <w:rPr>
      <w:rFonts w:ascii="Arial" w:hAnsi="Arial" w:eastAsia="Arial" w:cs="Arial"/>
      <w:i/>
      <w:iCs/>
      <w:sz w:val="22"/>
      <w:szCs w:val="22"/>
    </w:rPr>
  </w:style>
  <w:style w:type="character" w:styleId="802" w:customStyle="1">
    <w:name w:val="Заголовок 9 Знак"/>
    <w:basedOn w:val="791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803">
    <w:name w:val="No Spacing"/>
    <w:uiPriority w:val="1"/>
    <w:qFormat/>
  </w:style>
  <w:style w:type="paragraph" w:styleId="804">
    <w:name w:val="Title"/>
    <w:basedOn w:val="781"/>
    <w:next w:val="964"/>
    <w:link w:val="805"/>
    <w:qFormat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character" w:styleId="805" w:customStyle="1">
    <w:name w:val="Заголовок Знак"/>
    <w:basedOn w:val="791"/>
    <w:link w:val="804"/>
    <w:uiPriority w:val="10"/>
    <w:rPr>
      <w:sz w:val="48"/>
      <w:szCs w:val="48"/>
    </w:rPr>
  </w:style>
  <w:style w:type="paragraph" w:styleId="806">
    <w:name w:val="Subtitle"/>
    <w:basedOn w:val="781"/>
    <w:next w:val="781"/>
    <w:link w:val="807"/>
    <w:uiPriority w:val="11"/>
    <w:qFormat/>
    <w:pPr>
      <w:spacing w:before="200" w:after="200"/>
    </w:pPr>
    <w:rPr>
      <w:sz w:val="24"/>
      <w:szCs w:val="24"/>
    </w:rPr>
  </w:style>
  <w:style w:type="character" w:styleId="807" w:customStyle="1">
    <w:name w:val="Подзаголовок Знак"/>
    <w:basedOn w:val="791"/>
    <w:link w:val="806"/>
    <w:uiPriority w:val="11"/>
    <w:rPr>
      <w:sz w:val="24"/>
      <w:szCs w:val="24"/>
    </w:rPr>
  </w:style>
  <w:style w:type="paragraph" w:styleId="808">
    <w:name w:val="Quote"/>
    <w:basedOn w:val="781"/>
    <w:next w:val="781"/>
    <w:link w:val="809"/>
    <w:uiPriority w:val="29"/>
    <w:qFormat/>
    <w:pPr>
      <w:ind w:left="720" w:right="720"/>
    </w:pPr>
    <w:rPr>
      <w:i/>
    </w:rPr>
  </w:style>
  <w:style w:type="character" w:styleId="809" w:customStyle="1">
    <w:name w:val="Цитата 2 Знак"/>
    <w:link w:val="808"/>
    <w:uiPriority w:val="29"/>
    <w:rPr>
      <w:i/>
    </w:rPr>
  </w:style>
  <w:style w:type="paragraph" w:styleId="810">
    <w:name w:val="Intense Quote"/>
    <w:basedOn w:val="781"/>
    <w:next w:val="781"/>
    <w:link w:val="81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1" w:customStyle="1">
    <w:name w:val="Выделенная цитата Знак"/>
    <w:link w:val="810"/>
    <w:uiPriority w:val="30"/>
    <w:rPr>
      <w:i/>
    </w:rPr>
  </w:style>
  <w:style w:type="character" w:styleId="812" w:customStyle="1">
    <w:name w:val="Верхний колонтитул Знак1"/>
    <w:basedOn w:val="791"/>
    <w:link w:val="972"/>
    <w:uiPriority w:val="99"/>
  </w:style>
  <w:style w:type="character" w:styleId="813" w:customStyle="1">
    <w:name w:val="Footer Char"/>
    <w:basedOn w:val="791"/>
    <w:uiPriority w:val="99"/>
  </w:style>
  <w:style w:type="character" w:styleId="814" w:customStyle="1">
    <w:name w:val="Нижний колонтитул Знак1"/>
    <w:link w:val="973"/>
    <w:uiPriority w:val="99"/>
  </w:style>
  <w:style w:type="table" w:styleId="815">
    <w:name w:val="Table Grid"/>
    <w:basedOn w:val="792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16" w:customStyle="1">
    <w:name w:val="Table Grid Light"/>
    <w:basedOn w:val="79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17">
    <w:name w:val="Plain Table 1"/>
    <w:basedOn w:val="79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8">
    <w:name w:val="Plain Table 2"/>
    <w:basedOn w:val="79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9">
    <w:name w:val="Plain Table 3"/>
    <w:basedOn w:val="79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0">
    <w:name w:val="Plain Table 4"/>
    <w:basedOn w:val="79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Plain Table 5"/>
    <w:basedOn w:val="79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2">
    <w:name w:val="Grid Table 1 Light"/>
    <w:basedOn w:val="792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1"/>
    <w:basedOn w:val="792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2"/>
    <w:basedOn w:val="79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3"/>
    <w:basedOn w:val="792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1 Light - Accent 4"/>
    <w:basedOn w:val="792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Grid Table 1 Light - Accent 5"/>
    <w:basedOn w:val="792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Grid Table 1 Light - Accent 6"/>
    <w:basedOn w:val="792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2"/>
    <w:basedOn w:val="79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1"/>
    <w:basedOn w:val="792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2"/>
    <w:basedOn w:val="79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3"/>
    <w:basedOn w:val="792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2 - Accent 4"/>
    <w:basedOn w:val="792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2 - Accent 5"/>
    <w:basedOn w:val="792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2 - Accent 6"/>
    <w:basedOn w:val="792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"/>
    <w:basedOn w:val="79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1"/>
    <w:basedOn w:val="792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2"/>
    <w:basedOn w:val="79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3"/>
    <w:basedOn w:val="792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3 - Accent 4"/>
    <w:basedOn w:val="792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3 - Accent 5"/>
    <w:basedOn w:val="792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 - Accent 6"/>
    <w:basedOn w:val="792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4"/>
    <w:basedOn w:val="792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4" w:customStyle="1">
    <w:name w:val="Grid Table 4 - Accent 1"/>
    <w:basedOn w:val="792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45" w:customStyle="1">
    <w:name w:val="Grid Table 4 - Accent 2"/>
    <w:basedOn w:val="792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46" w:customStyle="1">
    <w:name w:val="Grid Table 4 - Accent 3"/>
    <w:basedOn w:val="792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47" w:customStyle="1">
    <w:name w:val="Grid Table 4 - Accent 4"/>
    <w:basedOn w:val="792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48" w:customStyle="1">
    <w:name w:val="Grid Table 4 - Accent 5"/>
    <w:basedOn w:val="792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49" w:customStyle="1">
    <w:name w:val="Grid Table 4 - Accent 6"/>
    <w:basedOn w:val="792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50">
    <w:name w:val="Grid Table 5 Dark"/>
    <w:basedOn w:val="79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- Accent 1"/>
    <w:basedOn w:val="79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 - Accent 2"/>
    <w:basedOn w:val="79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 - Accent 3"/>
    <w:basedOn w:val="79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5 Dark- Accent 4"/>
    <w:basedOn w:val="79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55" w:customStyle="1">
    <w:name w:val="Grid Table 5 Dark - Accent 5"/>
    <w:basedOn w:val="79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56" w:customStyle="1">
    <w:name w:val="Grid Table 5 Dark - Accent 6"/>
    <w:basedOn w:val="79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57">
    <w:name w:val="Grid Table 6 Colorful"/>
    <w:basedOn w:val="792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8" w:customStyle="1">
    <w:name w:val="Grid Table 6 Colorful - Accent 1"/>
    <w:basedOn w:val="792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59" w:customStyle="1">
    <w:name w:val="Grid Table 6 Colorful - Accent 2"/>
    <w:basedOn w:val="79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60" w:customStyle="1">
    <w:name w:val="Grid Table 6 Colorful - Accent 3"/>
    <w:basedOn w:val="792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61" w:customStyle="1">
    <w:name w:val="Grid Table 6 Colorful - Accent 4"/>
    <w:basedOn w:val="792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62" w:customStyle="1">
    <w:name w:val="Grid Table 6 Colorful - Accent 5"/>
    <w:basedOn w:val="792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63" w:customStyle="1">
    <w:name w:val="Grid Table 6 Colorful - Accent 6"/>
    <w:basedOn w:val="792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64">
    <w:name w:val="Grid Table 7 Colorful"/>
    <w:basedOn w:val="792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5" w:customStyle="1">
    <w:name w:val="Grid Table 7 Colorful - Accent 1"/>
    <w:basedOn w:val="792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6" w:customStyle="1">
    <w:name w:val="Grid Table 7 Colorful - Accent 2"/>
    <w:basedOn w:val="792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Grid Table 7 Colorful - Accent 3"/>
    <w:basedOn w:val="792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Grid Table 7 Colorful - Accent 4"/>
    <w:basedOn w:val="792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 w:customStyle="1">
    <w:name w:val="Grid Table 7 Colorful - Accent 5"/>
    <w:basedOn w:val="792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0" w:customStyle="1">
    <w:name w:val="Grid Table 7 Colorful - Accent 6"/>
    <w:basedOn w:val="792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1">
    <w:name w:val="List Table 1 Light"/>
    <w:basedOn w:val="792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1"/>
    <w:basedOn w:val="792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2"/>
    <w:basedOn w:val="792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3"/>
    <w:basedOn w:val="792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1 Light - Accent 4"/>
    <w:basedOn w:val="792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1 Light - Accent 5"/>
    <w:basedOn w:val="792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 - Accent 6"/>
    <w:basedOn w:val="792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2"/>
    <w:basedOn w:val="79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1"/>
    <w:basedOn w:val="792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2"/>
    <w:basedOn w:val="792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3"/>
    <w:basedOn w:val="792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82" w:customStyle="1">
    <w:name w:val="List Table 2 - Accent 4"/>
    <w:basedOn w:val="792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83" w:customStyle="1">
    <w:name w:val="List Table 2 - Accent 5"/>
    <w:basedOn w:val="792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84" w:customStyle="1">
    <w:name w:val="List Table 2 - Accent 6"/>
    <w:basedOn w:val="792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85">
    <w:name w:val="List Table 3"/>
    <w:basedOn w:val="79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1"/>
    <w:basedOn w:val="792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2"/>
    <w:basedOn w:val="79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3"/>
    <w:basedOn w:val="792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3 - Accent 4"/>
    <w:basedOn w:val="792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3 - Accent 5"/>
    <w:basedOn w:val="792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3 - Accent 6"/>
    <w:basedOn w:val="792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"/>
    <w:basedOn w:val="79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1"/>
    <w:basedOn w:val="792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2"/>
    <w:basedOn w:val="792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3"/>
    <w:basedOn w:val="792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4 - Accent 4"/>
    <w:basedOn w:val="792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4 - Accent 5"/>
    <w:basedOn w:val="792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 - Accent 6"/>
    <w:basedOn w:val="792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5 Dark"/>
    <w:basedOn w:val="792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1"/>
    <w:basedOn w:val="792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2"/>
    <w:basedOn w:val="792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3"/>
    <w:basedOn w:val="792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5 Dark - Accent 4"/>
    <w:basedOn w:val="792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4" w:customStyle="1">
    <w:name w:val="List Table 5 Dark - Accent 5"/>
    <w:basedOn w:val="792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5" w:customStyle="1">
    <w:name w:val="List Table 5 Dark - Accent 6"/>
    <w:basedOn w:val="792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>
    <w:name w:val="List Table 6 Colorful"/>
    <w:basedOn w:val="792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7" w:customStyle="1">
    <w:name w:val="List Table 6 Colorful - Accent 1"/>
    <w:basedOn w:val="792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908" w:customStyle="1">
    <w:name w:val="List Table 6 Colorful - Accent 2"/>
    <w:basedOn w:val="792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09" w:customStyle="1">
    <w:name w:val="List Table 6 Colorful - Accent 3"/>
    <w:basedOn w:val="792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10" w:customStyle="1">
    <w:name w:val="List Table 6 Colorful - Accent 4"/>
    <w:basedOn w:val="792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11" w:customStyle="1">
    <w:name w:val="List Table 6 Colorful - Accent 5"/>
    <w:basedOn w:val="792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912" w:customStyle="1">
    <w:name w:val="List Table 6 Colorful - Accent 6"/>
    <w:basedOn w:val="792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13">
    <w:name w:val="List Table 7 Colorful"/>
    <w:basedOn w:val="792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4" w:customStyle="1">
    <w:name w:val="List Table 7 Colorful - Accent 1"/>
    <w:basedOn w:val="792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5" w:customStyle="1">
    <w:name w:val="List Table 7 Colorful - Accent 2"/>
    <w:basedOn w:val="792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6" w:customStyle="1">
    <w:name w:val="List Table 7 Colorful - Accent 3"/>
    <w:basedOn w:val="792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7" w:customStyle="1">
    <w:name w:val="List Table 7 Colorful - Accent 4"/>
    <w:basedOn w:val="792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8" w:customStyle="1">
    <w:name w:val="List Table 7 Colorful - Accent 5"/>
    <w:basedOn w:val="792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9" w:customStyle="1">
    <w:name w:val="List Table 7 Colorful - Accent 6"/>
    <w:basedOn w:val="792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0" w:customStyle="1">
    <w:name w:val="Lined - Accent"/>
    <w:basedOn w:val="7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1" w:customStyle="1">
    <w:name w:val="Lined - Accent 1"/>
    <w:basedOn w:val="7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22" w:customStyle="1">
    <w:name w:val="Lined - Accent 2"/>
    <w:basedOn w:val="7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23" w:customStyle="1">
    <w:name w:val="Lined - Accent 3"/>
    <w:basedOn w:val="7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24" w:customStyle="1">
    <w:name w:val="Lined - Accent 4"/>
    <w:basedOn w:val="7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25" w:customStyle="1">
    <w:name w:val="Lined - Accent 5"/>
    <w:basedOn w:val="7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26" w:customStyle="1">
    <w:name w:val="Lined - Accent 6"/>
    <w:basedOn w:val="7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27" w:customStyle="1">
    <w:name w:val="Bordered &amp; Lined - Accent"/>
    <w:basedOn w:val="7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8" w:customStyle="1">
    <w:name w:val="Bordered &amp; Lined - Accent 1"/>
    <w:basedOn w:val="7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29" w:customStyle="1">
    <w:name w:val="Bordered &amp; Lined - Accent 2"/>
    <w:basedOn w:val="7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30" w:customStyle="1">
    <w:name w:val="Bordered &amp; Lined - Accent 3"/>
    <w:basedOn w:val="7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31" w:customStyle="1">
    <w:name w:val="Bordered &amp; Lined - Accent 4"/>
    <w:basedOn w:val="7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32" w:customStyle="1">
    <w:name w:val="Bordered &amp; Lined - Accent 5"/>
    <w:basedOn w:val="7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33" w:customStyle="1">
    <w:name w:val="Bordered &amp; Lined - Accent 6"/>
    <w:basedOn w:val="79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34" w:customStyle="1">
    <w:name w:val="Bordered"/>
    <w:basedOn w:val="792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5" w:customStyle="1">
    <w:name w:val="Bordered - Accent 1"/>
    <w:basedOn w:val="792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36" w:customStyle="1">
    <w:name w:val="Bordered - Accent 2"/>
    <w:basedOn w:val="79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37" w:customStyle="1">
    <w:name w:val="Bordered - Accent 3"/>
    <w:basedOn w:val="792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38" w:customStyle="1">
    <w:name w:val="Bordered - Accent 4"/>
    <w:basedOn w:val="792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39" w:customStyle="1">
    <w:name w:val="Bordered - Accent 5"/>
    <w:basedOn w:val="792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40" w:customStyle="1">
    <w:name w:val="Bordered - Accent 6"/>
    <w:basedOn w:val="792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41">
    <w:name w:val="Hyperlink"/>
    <w:uiPriority w:val="99"/>
    <w:unhideWhenUsed/>
    <w:rPr>
      <w:color w:val="0563c1" w:themeColor="hyperlink"/>
      <w:u w:val="single"/>
    </w:rPr>
  </w:style>
  <w:style w:type="character" w:styleId="942" w:customStyle="1">
    <w:name w:val="Текст сноски Знак1"/>
    <w:link w:val="968"/>
    <w:uiPriority w:val="99"/>
    <w:rPr>
      <w:sz w:val="18"/>
    </w:rPr>
  </w:style>
  <w:style w:type="character" w:styleId="943">
    <w:name w:val="footnote reference"/>
    <w:basedOn w:val="791"/>
    <w:uiPriority w:val="99"/>
    <w:unhideWhenUsed/>
    <w:rPr>
      <w:vertAlign w:val="superscript"/>
    </w:rPr>
  </w:style>
  <w:style w:type="paragraph" w:styleId="944">
    <w:name w:val="endnote text"/>
    <w:basedOn w:val="781"/>
    <w:link w:val="945"/>
    <w:uiPriority w:val="99"/>
    <w:semiHidden/>
    <w:unhideWhenUsed/>
    <w:pPr>
      <w:spacing w:after="0" w:line="240" w:lineRule="auto"/>
    </w:pPr>
    <w:rPr>
      <w:sz w:val="20"/>
    </w:rPr>
  </w:style>
  <w:style w:type="character" w:styleId="945" w:customStyle="1">
    <w:name w:val="Текст концевой сноски Знак"/>
    <w:link w:val="944"/>
    <w:uiPriority w:val="99"/>
    <w:rPr>
      <w:sz w:val="20"/>
    </w:rPr>
  </w:style>
  <w:style w:type="character" w:styleId="946">
    <w:name w:val="endnote reference"/>
    <w:basedOn w:val="791"/>
    <w:uiPriority w:val="99"/>
    <w:semiHidden/>
    <w:unhideWhenUsed/>
    <w:rPr>
      <w:vertAlign w:val="superscript"/>
    </w:rPr>
  </w:style>
  <w:style w:type="paragraph" w:styleId="947">
    <w:name w:val="toc 1"/>
    <w:basedOn w:val="781"/>
    <w:next w:val="781"/>
    <w:uiPriority w:val="39"/>
    <w:unhideWhenUsed/>
    <w:pPr>
      <w:spacing w:after="57"/>
    </w:pPr>
  </w:style>
  <w:style w:type="paragraph" w:styleId="948">
    <w:name w:val="toc 2"/>
    <w:basedOn w:val="781"/>
    <w:next w:val="781"/>
    <w:uiPriority w:val="39"/>
    <w:unhideWhenUsed/>
    <w:pPr>
      <w:ind w:left="283"/>
      <w:spacing w:after="57"/>
    </w:pPr>
  </w:style>
  <w:style w:type="paragraph" w:styleId="949">
    <w:name w:val="toc 3"/>
    <w:basedOn w:val="781"/>
    <w:next w:val="781"/>
    <w:uiPriority w:val="39"/>
    <w:unhideWhenUsed/>
    <w:pPr>
      <w:ind w:left="567"/>
      <w:spacing w:after="57"/>
    </w:pPr>
  </w:style>
  <w:style w:type="paragraph" w:styleId="950">
    <w:name w:val="toc 4"/>
    <w:basedOn w:val="781"/>
    <w:next w:val="781"/>
    <w:uiPriority w:val="39"/>
    <w:unhideWhenUsed/>
    <w:pPr>
      <w:ind w:left="850"/>
      <w:spacing w:after="57"/>
    </w:pPr>
  </w:style>
  <w:style w:type="paragraph" w:styleId="951">
    <w:name w:val="toc 5"/>
    <w:basedOn w:val="781"/>
    <w:next w:val="781"/>
    <w:uiPriority w:val="39"/>
    <w:unhideWhenUsed/>
    <w:pPr>
      <w:ind w:left="1134"/>
      <w:spacing w:after="57"/>
    </w:pPr>
  </w:style>
  <w:style w:type="paragraph" w:styleId="952">
    <w:name w:val="toc 6"/>
    <w:basedOn w:val="781"/>
    <w:next w:val="781"/>
    <w:uiPriority w:val="39"/>
    <w:unhideWhenUsed/>
    <w:pPr>
      <w:ind w:left="1417"/>
      <w:spacing w:after="57"/>
    </w:pPr>
  </w:style>
  <w:style w:type="paragraph" w:styleId="953">
    <w:name w:val="toc 7"/>
    <w:basedOn w:val="781"/>
    <w:next w:val="781"/>
    <w:uiPriority w:val="39"/>
    <w:unhideWhenUsed/>
    <w:pPr>
      <w:ind w:left="1701"/>
      <w:spacing w:after="57"/>
    </w:pPr>
  </w:style>
  <w:style w:type="paragraph" w:styleId="954">
    <w:name w:val="toc 8"/>
    <w:basedOn w:val="781"/>
    <w:next w:val="781"/>
    <w:uiPriority w:val="39"/>
    <w:unhideWhenUsed/>
    <w:pPr>
      <w:ind w:left="1984"/>
      <w:spacing w:after="57"/>
    </w:pPr>
  </w:style>
  <w:style w:type="paragraph" w:styleId="955">
    <w:name w:val="toc 9"/>
    <w:basedOn w:val="781"/>
    <w:next w:val="781"/>
    <w:uiPriority w:val="39"/>
    <w:unhideWhenUsed/>
    <w:pPr>
      <w:ind w:left="2268"/>
      <w:spacing w:after="57"/>
    </w:pPr>
  </w:style>
  <w:style w:type="paragraph" w:styleId="956">
    <w:name w:val="TOC Heading"/>
    <w:uiPriority w:val="39"/>
    <w:unhideWhenUsed/>
  </w:style>
  <w:style w:type="paragraph" w:styleId="957">
    <w:name w:val="table of figures"/>
    <w:basedOn w:val="781"/>
    <w:next w:val="781"/>
    <w:uiPriority w:val="99"/>
    <w:unhideWhenUsed/>
    <w:pPr>
      <w:spacing w:after="0"/>
    </w:pPr>
  </w:style>
  <w:style w:type="character" w:styleId="958" w:customStyle="1">
    <w:name w:val="Текст сноски Знак"/>
    <w:basedOn w:val="791"/>
    <w:uiPriority w:val="99"/>
    <w:semiHidden/>
    <w:qFormat/>
    <w:rPr>
      <w:sz w:val="20"/>
      <w:szCs w:val="20"/>
    </w:rPr>
  </w:style>
  <w:style w:type="character" w:styleId="959" w:customStyle="1">
    <w:name w:val="Символ сноски"/>
    <w:basedOn w:val="791"/>
    <w:uiPriority w:val="99"/>
    <w:semiHidden/>
    <w:unhideWhenUsed/>
    <w:qFormat/>
    <w:rPr>
      <w:vertAlign w:val="superscript"/>
    </w:rPr>
  </w:style>
  <w:style w:type="character" w:styleId="960" w:customStyle="1">
    <w:name w:val="Привязка сноски"/>
    <w:rPr>
      <w:vertAlign w:val="superscript"/>
    </w:rPr>
  </w:style>
  <w:style w:type="character" w:styleId="961" w:customStyle="1">
    <w:name w:val="Текст выноски Знак"/>
    <w:basedOn w:val="791"/>
    <w:link w:val="970"/>
    <w:uiPriority w:val="99"/>
    <w:semiHidden/>
    <w:qFormat/>
    <w:rPr>
      <w:rFonts w:ascii="Segoe UI" w:hAnsi="Segoe UI" w:cs="Segoe UI"/>
      <w:sz w:val="18"/>
      <w:szCs w:val="18"/>
    </w:rPr>
  </w:style>
  <w:style w:type="character" w:styleId="962" w:customStyle="1">
    <w:name w:val="Верхний колонтитул Знак"/>
    <w:basedOn w:val="791"/>
    <w:uiPriority w:val="99"/>
    <w:qFormat/>
  </w:style>
  <w:style w:type="character" w:styleId="963" w:customStyle="1">
    <w:name w:val="Нижний колонтитул Знак"/>
    <w:basedOn w:val="791"/>
    <w:uiPriority w:val="99"/>
    <w:qFormat/>
  </w:style>
  <w:style w:type="paragraph" w:styleId="964">
    <w:name w:val="Body Text"/>
    <w:basedOn w:val="781"/>
    <w:pPr>
      <w:spacing w:after="140" w:line="276" w:lineRule="auto"/>
    </w:pPr>
  </w:style>
  <w:style w:type="paragraph" w:styleId="965">
    <w:name w:val="List"/>
    <w:basedOn w:val="964"/>
    <w:rPr>
      <w:rFonts w:cs="Lohit Devanagari"/>
    </w:rPr>
  </w:style>
  <w:style w:type="paragraph" w:styleId="966">
    <w:name w:val="Caption"/>
    <w:basedOn w:val="781"/>
    <w:link w:val="778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967">
    <w:name w:val="index heading"/>
    <w:basedOn w:val="781"/>
    <w:qFormat/>
    <w:pPr>
      <w:suppressLineNumbers/>
    </w:pPr>
    <w:rPr>
      <w:rFonts w:cs="Lohit Devanagari"/>
    </w:rPr>
  </w:style>
  <w:style w:type="paragraph" w:styleId="968">
    <w:name w:val="footnote text"/>
    <w:basedOn w:val="781"/>
    <w:link w:val="942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969">
    <w:name w:val="List Paragraph"/>
    <w:basedOn w:val="781"/>
    <w:uiPriority w:val="34"/>
    <w:qFormat/>
    <w:pPr>
      <w:contextualSpacing/>
      <w:ind w:left="720"/>
    </w:pPr>
  </w:style>
  <w:style w:type="paragraph" w:styleId="970">
    <w:name w:val="Balloon Text"/>
    <w:basedOn w:val="781"/>
    <w:link w:val="961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971" w:customStyle="1">
    <w:name w:val="Колонтитул"/>
    <w:basedOn w:val="781"/>
    <w:qFormat/>
  </w:style>
  <w:style w:type="paragraph" w:styleId="972">
    <w:name w:val="Header"/>
    <w:basedOn w:val="781"/>
    <w:link w:val="81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973">
    <w:name w:val="Footer"/>
    <w:basedOn w:val="781"/>
    <w:link w:val="8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17F1E-BA82-46CA-B779-A961212ED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dc:description/>
  <dc:language>ru-RU</dc:language>
  <cp:lastModifiedBy>khvostikova-as</cp:lastModifiedBy>
  <cp:revision>86</cp:revision>
  <dcterms:created xsi:type="dcterms:W3CDTF">2023-02-17T06:23:00Z</dcterms:created>
  <dcterms:modified xsi:type="dcterms:W3CDTF">2025-03-19T14:27:42Z</dcterms:modified>
</cp:coreProperties>
</file>